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A42" w:rsidRDefault="00610B0E" w:rsidP="001E1A42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食品衛生安全</w:t>
      </w:r>
      <w:r w:rsidR="00FD2FA7" w:rsidRPr="001E1A42">
        <w:rPr>
          <w:rFonts w:ascii="標楷體" w:eastAsia="標楷體" w:hAnsi="標楷體" w:hint="eastAsia"/>
          <w:b/>
          <w:sz w:val="32"/>
          <w:szCs w:val="32"/>
        </w:rPr>
        <w:t>預防性下架</w:t>
      </w:r>
      <w:r w:rsidR="001E1A42" w:rsidRPr="001E1A42">
        <w:rPr>
          <w:rFonts w:ascii="標楷體" w:eastAsia="標楷體" w:hAnsi="標楷體" w:hint="eastAsia"/>
          <w:b/>
          <w:sz w:val="32"/>
          <w:szCs w:val="32"/>
        </w:rPr>
        <w:t>原則</w:t>
      </w:r>
      <w:r w:rsidR="001E1A42">
        <w:rPr>
          <w:rFonts w:ascii="標楷體" w:eastAsia="標楷體" w:hAnsi="標楷體" w:hint="eastAsia"/>
          <w:b/>
          <w:sz w:val="32"/>
          <w:szCs w:val="32"/>
        </w:rPr>
        <w:t xml:space="preserve">  </w:t>
      </w:r>
    </w:p>
    <w:p w:rsidR="00610B0E" w:rsidRDefault="00695E08" w:rsidP="00610B0E">
      <w:pPr>
        <w:spacing w:line="320" w:lineRule="exact"/>
        <w:jc w:val="right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 w:hint="eastAsia"/>
          <w:b/>
          <w:sz w:val="20"/>
          <w:szCs w:val="20"/>
        </w:rPr>
        <w:t xml:space="preserve">103.12.30 </w:t>
      </w:r>
      <w:r w:rsidR="00610B0E">
        <w:rPr>
          <w:rFonts w:ascii="標楷體" w:eastAsia="標楷體" w:hAnsi="標楷體" w:hint="eastAsia"/>
          <w:b/>
          <w:sz w:val="20"/>
          <w:szCs w:val="20"/>
        </w:rPr>
        <w:t>FDA</w:t>
      </w:r>
      <w:proofErr w:type="gramStart"/>
      <w:r w:rsidR="00610B0E">
        <w:rPr>
          <w:rFonts w:ascii="標楷體" w:eastAsia="標楷體" w:hAnsi="標楷體" w:hint="eastAsia"/>
          <w:b/>
          <w:sz w:val="20"/>
          <w:szCs w:val="20"/>
        </w:rPr>
        <w:t>食字第1031304565號</w:t>
      </w:r>
      <w:proofErr w:type="gramEnd"/>
      <w:r w:rsidR="00610B0E">
        <w:rPr>
          <w:rFonts w:ascii="標楷體" w:eastAsia="標楷體" w:hAnsi="標楷體" w:hint="eastAsia"/>
          <w:b/>
          <w:sz w:val="20"/>
          <w:szCs w:val="20"/>
        </w:rPr>
        <w:t>函附件</w:t>
      </w:r>
    </w:p>
    <w:p w:rsidR="00FD2FA7" w:rsidRPr="001E1A42" w:rsidRDefault="00695E08" w:rsidP="008C78C2">
      <w:pPr>
        <w:wordWrap w:val="0"/>
        <w:spacing w:line="320" w:lineRule="exact"/>
        <w:jc w:val="righ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20"/>
          <w:szCs w:val="20"/>
        </w:rPr>
        <w:t>104.</w:t>
      </w:r>
      <w:r w:rsidR="008C78C2">
        <w:rPr>
          <w:rFonts w:ascii="標楷體" w:eastAsia="標楷體" w:hAnsi="標楷體" w:hint="eastAsia"/>
          <w:b/>
          <w:sz w:val="20"/>
          <w:szCs w:val="20"/>
        </w:rPr>
        <w:t>02</w:t>
      </w:r>
      <w:r>
        <w:rPr>
          <w:rFonts w:ascii="標楷體" w:eastAsia="標楷體" w:hAnsi="標楷體" w:hint="eastAsia"/>
          <w:b/>
          <w:sz w:val="20"/>
          <w:szCs w:val="20"/>
        </w:rPr>
        <w:t>.</w:t>
      </w:r>
      <w:r w:rsidR="00C22C54">
        <w:rPr>
          <w:rFonts w:ascii="標楷體" w:eastAsia="標楷體" w:hAnsi="標楷體" w:hint="eastAsia"/>
          <w:b/>
          <w:sz w:val="20"/>
          <w:szCs w:val="20"/>
        </w:rPr>
        <w:t>0</w:t>
      </w:r>
      <w:bookmarkStart w:id="0" w:name="_GoBack"/>
      <w:bookmarkEnd w:id="0"/>
      <w:r w:rsidR="00C22C54">
        <w:rPr>
          <w:rFonts w:ascii="標楷體" w:eastAsia="標楷體" w:hAnsi="標楷體" w:hint="eastAsia"/>
          <w:b/>
          <w:sz w:val="20"/>
          <w:szCs w:val="20"/>
        </w:rPr>
        <w:t>6</w:t>
      </w:r>
      <w:r>
        <w:rPr>
          <w:rFonts w:ascii="標楷體" w:eastAsia="標楷體" w:hAnsi="標楷體" w:hint="eastAsia"/>
          <w:b/>
          <w:sz w:val="20"/>
          <w:szCs w:val="20"/>
        </w:rPr>
        <w:t xml:space="preserve"> FDA食字第1041300398號函</w:t>
      </w:r>
      <w:r w:rsidR="008C78C2">
        <w:rPr>
          <w:rFonts w:ascii="標楷體" w:eastAsia="標楷體" w:hAnsi="標楷體" w:hint="eastAsia"/>
          <w:b/>
          <w:sz w:val="20"/>
          <w:szCs w:val="20"/>
        </w:rPr>
        <w:t>修正</w:t>
      </w:r>
      <w:r>
        <w:rPr>
          <w:rFonts w:ascii="標楷體" w:eastAsia="標楷體" w:hAnsi="標楷體" w:hint="eastAsia"/>
          <w:b/>
          <w:sz w:val="20"/>
          <w:szCs w:val="20"/>
        </w:rPr>
        <w:t>附件</w:t>
      </w:r>
    </w:p>
    <w:p w:rsidR="00FD2FA7" w:rsidRPr="002F7801" w:rsidRDefault="00FD2FA7" w:rsidP="00C425A4">
      <w:pPr>
        <w:pStyle w:val="a3"/>
        <w:numPr>
          <w:ilvl w:val="1"/>
          <w:numId w:val="2"/>
        </w:numPr>
        <w:spacing w:line="500" w:lineRule="exact"/>
        <w:ind w:leftChars="0" w:left="709" w:hanging="709"/>
        <w:rPr>
          <w:rFonts w:ascii="標楷體" w:eastAsia="標楷體" w:hAnsi="標楷體" w:cs="Arial"/>
          <w:color w:val="333333"/>
          <w:sz w:val="32"/>
          <w:szCs w:val="32"/>
        </w:rPr>
      </w:pPr>
      <w:r w:rsidRPr="002F7801">
        <w:rPr>
          <w:rFonts w:ascii="標楷體" w:eastAsia="標楷體" w:hAnsi="標楷體" w:cs="Arial" w:hint="eastAsia"/>
          <w:color w:val="333333"/>
          <w:sz w:val="32"/>
          <w:szCs w:val="32"/>
        </w:rPr>
        <w:t>法源依據</w:t>
      </w:r>
    </w:p>
    <w:p w:rsidR="00FD2FA7" w:rsidRPr="00FA4ECB" w:rsidRDefault="00FD2FA7" w:rsidP="00C425A4">
      <w:pPr>
        <w:pStyle w:val="a3"/>
        <w:widowControl w:val="0"/>
        <w:numPr>
          <w:ilvl w:val="0"/>
          <w:numId w:val="3"/>
        </w:numPr>
        <w:spacing w:line="500" w:lineRule="exact"/>
        <w:ind w:leftChars="0" w:left="1134" w:hanging="425"/>
        <w:rPr>
          <w:rFonts w:ascii="標楷體" w:eastAsia="標楷體" w:hAnsi="標楷體" w:cs="Arial"/>
          <w:color w:val="333333"/>
          <w:sz w:val="32"/>
          <w:szCs w:val="32"/>
        </w:rPr>
      </w:pPr>
      <w:r w:rsidRPr="00FA4ECB">
        <w:rPr>
          <w:rFonts w:ascii="標楷體" w:eastAsia="標楷體" w:hAnsi="標楷體" w:cs="Arial"/>
          <w:color w:val="333333"/>
          <w:sz w:val="32"/>
          <w:szCs w:val="32"/>
        </w:rPr>
        <w:t>食品安全衛生管理法</w:t>
      </w:r>
      <w:r w:rsidRPr="00FA4ECB">
        <w:rPr>
          <w:rFonts w:ascii="標楷體" w:eastAsia="標楷體" w:hAnsi="標楷體" w:cs="Arial" w:hint="eastAsia"/>
          <w:color w:val="333333"/>
          <w:sz w:val="32"/>
          <w:szCs w:val="32"/>
        </w:rPr>
        <w:t>(下稱食安法)</w:t>
      </w:r>
      <w:r w:rsidRPr="00FA4ECB">
        <w:rPr>
          <w:rFonts w:ascii="標楷體" w:eastAsia="標楷體" w:hAnsi="標楷體" w:cs="Arial"/>
          <w:color w:val="333333"/>
          <w:sz w:val="32"/>
          <w:szCs w:val="32"/>
        </w:rPr>
        <w:t>第</w:t>
      </w:r>
      <w:r w:rsidRPr="00FA4ECB">
        <w:rPr>
          <w:rFonts w:ascii="標楷體" w:eastAsia="標楷體" w:hAnsi="標楷體" w:cs="Arial" w:hint="eastAsia"/>
          <w:color w:val="333333"/>
          <w:sz w:val="32"/>
          <w:szCs w:val="32"/>
        </w:rPr>
        <w:t>4</w:t>
      </w:r>
      <w:r w:rsidRPr="00FA4ECB">
        <w:rPr>
          <w:rFonts w:ascii="標楷體" w:eastAsia="標楷體" w:hAnsi="標楷體" w:cs="Arial"/>
          <w:color w:val="333333"/>
          <w:sz w:val="32"/>
          <w:szCs w:val="32"/>
        </w:rPr>
        <w:t>條第</w:t>
      </w:r>
      <w:r w:rsidR="00401DD8">
        <w:rPr>
          <w:rFonts w:ascii="標楷體" w:eastAsia="標楷體" w:hAnsi="標楷體" w:cs="Arial" w:hint="eastAsia"/>
          <w:color w:val="333333"/>
          <w:sz w:val="32"/>
          <w:szCs w:val="32"/>
        </w:rPr>
        <w:t>5</w:t>
      </w:r>
      <w:r w:rsidRPr="00FA4ECB">
        <w:rPr>
          <w:rFonts w:ascii="標楷體" w:eastAsia="標楷體" w:hAnsi="標楷體" w:cs="Arial"/>
          <w:color w:val="333333"/>
          <w:sz w:val="32"/>
          <w:szCs w:val="32"/>
        </w:rPr>
        <w:t>項</w:t>
      </w:r>
      <w:r w:rsidRPr="00FA4ECB">
        <w:rPr>
          <w:rFonts w:ascii="標楷體" w:eastAsia="標楷體" w:hAnsi="標楷體" w:cs="Arial" w:hint="eastAsia"/>
          <w:color w:val="333333"/>
          <w:sz w:val="32"/>
          <w:szCs w:val="32"/>
        </w:rPr>
        <w:t>：</w:t>
      </w:r>
      <w:r w:rsidRPr="00785CE6">
        <w:rPr>
          <w:rFonts w:ascii="標楷體" w:eastAsia="標楷體" w:hAnsi="標楷體" w:cs="Arial" w:hint="eastAsia"/>
          <w:sz w:val="32"/>
          <w:szCs w:val="32"/>
        </w:rPr>
        <w:t>中央主管機關</w:t>
      </w:r>
      <w:r w:rsidRPr="00FA4ECB">
        <w:rPr>
          <w:rFonts w:ascii="標楷體" w:eastAsia="標楷體" w:hAnsi="標楷體" w:cs="Arial" w:hint="eastAsia"/>
          <w:color w:val="333333"/>
          <w:sz w:val="32"/>
          <w:szCs w:val="32"/>
        </w:rPr>
        <w:t>對重大或突發性食品衛生安全事件，必要時得依風險評估或流行病學調查結果，公告對特定產品或特定地區之產品採取下列管理措施：</w:t>
      </w:r>
      <w:r w:rsidRPr="00FD2FA7">
        <w:rPr>
          <w:rFonts w:ascii="標楷體" w:eastAsia="標楷體" w:hAnsi="標楷體" w:cs="Arial" w:hint="eastAsia"/>
          <w:color w:val="333333"/>
          <w:sz w:val="32"/>
          <w:szCs w:val="32"/>
        </w:rPr>
        <w:t>一、限制或停止輸入查驗、製造及加工之方式或條件。</w:t>
      </w:r>
      <w:r w:rsidRPr="00FA4ECB">
        <w:rPr>
          <w:rFonts w:ascii="標楷體" w:eastAsia="標楷體" w:hAnsi="標楷體" w:cs="Arial" w:hint="eastAsia"/>
          <w:color w:val="333333"/>
          <w:sz w:val="32"/>
          <w:szCs w:val="32"/>
        </w:rPr>
        <w:t>二、</w:t>
      </w:r>
      <w:r w:rsidRPr="00785CE6">
        <w:rPr>
          <w:rFonts w:ascii="標楷體" w:eastAsia="標楷體" w:hAnsi="標楷體" w:cs="Arial" w:hint="eastAsia"/>
          <w:sz w:val="32"/>
          <w:szCs w:val="32"/>
        </w:rPr>
        <w:t>下架</w:t>
      </w:r>
      <w:r w:rsidRPr="00FA4ECB">
        <w:rPr>
          <w:rFonts w:ascii="標楷體" w:eastAsia="標楷體" w:hAnsi="標楷體" w:cs="Arial" w:hint="eastAsia"/>
          <w:color w:val="333333"/>
          <w:sz w:val="32"/>
          <w:szCs w:val="32"/>
        </w:rPr>
        <w:t>、封存、限期回收、限期改製、沒入銷毀。</w:t>
      </w:r>
    </w:p>
    <w:p w:rsidR="00FA4ECB" w:rsidRPr="00FA4ECB" w:rsidRDefault="00FA4ECB" w:rsidP="00C425A4">
      <w:pPr>
        <w:pStyle w:val="a3"/>
        <w:widowControl w:val="0"/>
        <w:numPr>
          <w:ilvl w:val="0"/>
          <w:numId w:val="3"/>
        </w:numPr>
        <w:spacing w:line="500" w:lineRule="exact"/>
        <w:ind w:leftChars="0" w:left="1134" w:hanging="425"/>
        <w:rPr>
          <w:rFonts w:ascii="標楷體" w:eastAsia="標楷體" w:hAnsi="標楷體" w:cs="Arial"/>
          <w:color w:val="333333"/>
          <w:sz w:val="32"/>
          <w:szCs w:val="32"/>
        </w:rPr>
      </w:pPr>
      <w:r w:rsidRPr="002F7801">
        <w:rPr>
          <w:rFonts w:ascii="標楷體" w:eastAsia="標楷體" w:hAnsi="標楷體" w:cs="Arial" w:hint="eastAsia"/>
          <w:color w:val="333333"/>
          <w:sz w:val="32"/>
          <w:szCs w:val="32"/>
        </w:rPr>
        <w:t>食安法</w:t>
      </w:r>
      <w:r w:rsidRPr="002F7801">
        <w:rPr>
          <w:rFonts w:ascii="標楷體" w:eastAsia="標楷體" w:hAnsi="標楷體" w:cs="Arial"/>
          <w:color w:val="333333"/>
          <w:sz w:val="32"/>
          <w:szCs w:val="32"/>
        </w:rPr>
        <w:t>第</w:t>
      </w:r>
      <w:r>
        <w:rPr>
          <w:rFonts w:ascii="標楷體" w:eastAsia="標楷體" w:hAnsi="標楷體" w:cs="Arial" w:hint="eastAsia"/>
          <w:color w:val="333333"/>
          <w:sz w:val="32"/>
          <w:szCs w:val="32"/>
        </w:rPr>
        <w:t>5</w:t>
      </w:r>
      <w:r w:rsidRPr="002F7801">
        <w:rPr>
          <w:rFonts w:ascii="標楷體" w:eastAsia="標楷體" w:hAnsi="標楷體" w:cs="Arial"/>
          <w:color w:val="333333"/>
          <w:sz w:val="32"/>
          <w:szCs w:val="32"/>
        </w:rPr>
        <w:t>條</w:t>
      </w:r>
      <w:r>
        <w:rPr>
          <w:rFonts w:ascii="標楷體" w:eastAsia="標楷體" w:hAnsi="標楷體" w:cs="Arial" w:hint="eastAsia"/>
          <w:color w:val="333333"/>
          <w:sz w:val="32"/>
          <w:szCs w:val="32"/>
        </w:rPr>
        <w:t>：</w:t>
      </w:r>
      <w:r w:rsidRPr="00FA4ECB">
        <w:rPr>
          <w:rFonts w:ascii="標楷體" w:eastAsia="標楷體" w:hAnsi="標楷體" w:cs="Arial" w:hint="eastAsia"/>
          <w:color w:val="333333"/>
          <w:sz w:val="32"/>
          <w:szCs w:val="32"/>
        </w:rPr>
        <w:t>各級主管機關依科學實證，建立食品衛生安全監測體系，於監測發現有危害食品衛生安全之虞之事件發生時，應發布預警或</w:t>
      </w:r>
      <w:proofErr w:type="gramStart"/>
      <w:r w:rsidRPr="00FA4ECB">
        <w:rPr>
          <w:rFonts w:ascii="標楷體" w:eastAsia="標楷體" w:hAnsi="標楷體" w:cs="Arial" w:hint="eastAsia"/>
          <w:color w:val="333333"/>
          <w:sz w:val="32"/>
          <w:szCs w:val="32"/>
        </w:rPr>
        <w:t>採</w:t>
      </w:r>
      <w:proofErr w:type="gramEnd"/>
      <w:r w:rsidRPr="00FA4ECB">
        <w:rPr>
          <w:rFonts w:ascii="標楷體" w:eastAsia="標楷體" w:hAnsi="標楷體" w:cs="Arial" w:hint="eastAsia"/>
          <w:color w:val="333333"/>
          <w:sz w:val="32"/>
          <w:szCs w:val="32"/>
        </w:rPr>
        <w:t>行必要管制措施。</w:t>
      </w:r>
    </w:p>
    <w:p w:rsidR="00FA4ECB" w:rsidRDefault="00FA4ECB" w:rsidP="00C425A4">
      <w:pPr>
        <w:pStyle w:val="a3"/>
        <w:widowControl w:val="0"/>
        <w:spacing w:line="500" w:lineRule="exact"/>
        <w:ind w:leftChars="0" w:left="1134"/>
        <w:rPr>
          <w:rFonts w:ascii="標楷體" w:eastAsia="標楷體" w:hAnsi="標楷體" w:cs="Arial"/>
          <w:color w:val="333333"/>
          <w:sz w:val="32"/>
          <w:szCs w:val="32"/>
        </w:rPr>
      </w:pPr>
      <w:r w:rsidRPr="00FA4ECB">
        <w:rPr>
          <w:rFonts w:ascii="標楷體" w:eastAsia="標楷體" w:hAnsi="標楷體" w:cs="Arial" w:hint="eastAsia"/>
          <w:color w:val="333333"/>
          <w:sz w:val="32"/>
          <w:szCs w:val="32"/>
        </w:rPr>
        <w:t>前項發布預警或</w:t>
      </w:r>
      <w:proofErr w:type="gramStart"/>
      <w:r w:rsidRPr="00FA4ECB">
        <w:rPr>
          <w:rFonts w:ascii="標楷體" w:eastAsia="標楷體" w:hAnsi="標楷體" w:cs="Arial" w:hint="eastAsia"/>
          <w:color w:val="333333"/>
          <w:sz w:val="32"/>
          <w:szCs w:val="32"/>
        </w:rPr>
        <w:t>採</w:t>
      </w:r>
      <w:proofErr w:type="gramEnd"/>
      <w:r w:rsidRPr="00FA4ECB">
        <w:rPr>
          <w:rFonts w:ascii="標楷體" w:eastAsia="標楷體" w:hAnsi="標楷體" w:cs="Arial" w:hint="eastAsia"/>
          <w:color w:val="333333"/>
          <w:sz w:val="32"/>
          <w:szCs w:val="32"/>
        </w:rPr>
        <w:t>行必要管制措施，包含公布檢驗結果、令食品業者自主檢驗及揭露資訊。</w:t>
      </w:r>
    </w:p>
    <w:p w:rsidR="00785CE6" w:rsidRPr="00785CE6" w:rsidRDefault="00FD2FA7" w:rsidP="00C425A4">
      <w:pPr>
        <w:pStyle w:val="a3"/>
        <w:widowControl w:val="0"/>
        <w:numPr>
          <w:ilvl w:val="0"/>
          <w:numId w:val="3"/>
        </w:numPr>
        <w:spacing w:line="500" w:lineRule="exact"/>
        <w:ind w:leftChars="0" w:left="1134" w:hanging="425"/>
        <w:rPr>
          <w:rFonts w:ascii="標楷體" w:eastAsia="標楷體" w:hAnsi="標楷體" w:cs="Arial"/>
          <w:color w:val="333333"/>
          <w:sz w:val="32"/>
          <w:szCs w:val="32"/>
        </w:rPr>
      </w:pPr>
      <w:r w:rsidRPr="00785CE6">
        <w:rPr>
          <w:rFonts w:ascii="標楷體" w:eastAsia="標楷體" w:hAnsi="標楷體" w:cs="Arial" w:hint="eastAsia"/>
          <w:color w:val="333333"/>
          <w:sz w:val="32"/>
          <w:szCs w:val="32"/>
        </w:rPr>
        <w:t>食安法</w:t>
      </w:r>
      <w:r w:rsidRPr="00785CE6">
        <w:rPr>
          <w:rFonts w:ascii="標楷體" w:eastAsia="標楷體" w:hAnsi="標楷體" w:cs="Arial"/>
          <w:color w:val="333333"/>
          <w:sz w:val="32"/>
          <w:szCs w:val="32"/>
        </w:rPr>
        <w:t>第15條第1項</w:t>
      </w:r>
      <w:r w:rsidR="00785CE6" w:rsidRPr="00785CE6">
        <w:rPr>
          <w:rFonts w:ascii="標楷體" w:eastAsia="標楷體" w:hAnsi="標楷體" w:cs="Arial"/>
          <w:color w:val="333333"/>
          <w:sz w:val="32"/>
          <w:szCs w:val="32"/>
        </w:rPr>
        <w:t>：</w:t>
      </w:r>
      <w:r w:rsidR="00785CE6" w:rsidRPr="00785CE6">
        <w:rPr>
          <w:rFonts w:ascii="標楷體" w:eastAsia="標楷體" w:hAnsi="標楷體" w:cs="Arial" w:hint="eastAsia"/>
          <w:color w:val="333333"/>
          <w:sz w:val="32"/>
          <w:szCs w:val="32"/>
        </w:rPr>
        <w:t>食品或食品添加物有下列情形之</w:t>
      </w:r>
      <w:proofErr w:type="gramStart"/>
      <w:r w:rsidR="00785CE6" w:rsidRPr="00785CE6">
        <w:rPr>
          <w:rFonts w:ascii="標楷體" w:eastAsia="標楷體" w:hAnsi="標楷體" w:cs="Arial" w:hint="eastAsia"/>
          <w:color w:val="333333"/>
          <w:sz w:val="32"/>
          <w:szCs w:val="32"/>
        </w:rPr>
        <w:t>一</w:t>
      </w:r>
      <w:proofErr w:type="gramEnd"/>
      <w:r w:rsidR="00785CE6" w:rsidRPr="00785CE6">
        <w:rPr>
          <w:rFonts w:ascii="標楷體" w:eastAsia="標楷體" w:hAnsi="標楷體" w:cs="Arial" w:hint="eastAsia"/>
          <w:color w:val="333333"/>
          <w:sz w:val="32"/>
          <w:szCs w:val="32"/>
        </w:rPr>
        <w:t>者，不得製造、加工、調配、包裝、運送、貯存、販賣、輸入、輸出、作為贈品或公開陳列：</w:t>
      </w:r>
    </w:p>
    <w:p w:rsidR="00785CE6" w:rsidRPr="00785CE6" w:rsidRDefault="00785CE6" w:rsidP="00C425A4">
      <w:pPr>
        <w:pStyle w:val="a3"/>
        <w:widowControl w:val="0"/>
        <w:spacing w:line="500" w:lineRule="exact"/>
        <w:ind w:leftChars="-1" w:left="-2" w:firstLineChars="354" w:firstLine="1133"/>
        <w:rPr>
          <w:rFonts w:ascii="標楷體" w:eastAsia="標楷體" w:hAnsi="標楷體" w:cs="Arial"/>
          <w:color w:val="333333"/>
          <w:sz w:val="32"/>
          <w:szCs w:val="32"/>
        </w:rPr>
      </w:pPr>
      <w:r w:rsidRPr="00785CE6">
        <w:rPr>
          <w:rFonts w:ascii="標楷體" w:eastAsia="標楷體" w:hAnsi="標楷體" w:cs="Arial" w:hint="eastAsia"/>
          <w:color w:val="333333"/>
          <w:sz w:val="32"/>
          <w:szCs w:val="32"/>
        </w:rPr>
        <w:t>一、變質或腐敗。</w:t>
      </w:r>
    </w:p>
    <w:p w:rsidR="00785CE6" w:rsidRPr="00785CE6" w:rsidRDefault="00785CE6" w:rsidP="00C425A4">
      <w:pPr>
        <w:pStyle w:val="a3"/>
        <w:widowControl w:val="0"/>
        <w:spacing w:line="500" w:lineRule="exact"/>
        <w:ind w:leftChars="-1" w:left="-2" w:firstLineChars="354" w:firstLine="1133"/>
        <w:rPr>
          <w:rFonts w:ascii="標楷體" w:eastAsia="標楷體" w:hAnsi="標楷體" w:cs="Arial"/>
          <w:color w:val="333333"/>
          <w:sz w:val="32"/>
          <w:szCs w:val="32"/>
        </w:rPr>
      </w:pPr>
      <w:r w:rsidRPr="00785CE6">
        <w:rPr>
          <w:rFonts w:ascii="標楷體" w:eastAsia="標楷體" w:hAnsi="標楷體" w:cs="Arial" w:hint="eastAsia"/>
          <w:color w:val="333333"/>
          <w:sz w:val="32"/>
          <w:szCs w:val="32"/>
        </w:rPr>
        <w:t>二、未成熟而有害人體健康。</w:t>
      </w:r>
    </w:p>
    <w:p w:rsidR="00785CE6" w:rsidRPr="00785CE6" w:rsidRDefault="00785CE6" w:rsidP="00C425A4">
      <w:pPr>
        <w:pStyle w:val="a3"/>
        <w:widowControl w:val="0"/>
        <w:spacing w:line="500" w:lineRule="exact"/>
        <w:ind w:leftChars="-1" w:left="-2" w:firstLineChars="354" w:firstLine="1133"/>
        <w:rPr>
          <w:rFonts w:ascii="標楷體" w:eastAsia="標楷體" w:hAnsi="標楷體" w:cs="Arial"/>
          <w:color w:val="333333"/>
          <w:sz w:val="32"/>
          <w:szCs w:val="32"/>
        </w:rPr>
      </w:pPr>
      <w:r w:rsidRPr="00785CE6">
        <w:rPr>
          <w:rFonts w:ascii="標楷體" w:eastAsia="標楷體" w:hAnsi="標楷體" w:cs="Arial" w:hint="eastAsia"/>
          <w:color w:val="333333"/>
          <w:sz w:val="32"/>
          <w:szCs w:val="32"/>
        </w:rPr>
        <w:t>三、有毒或含有害人體健康之物質或異物。</w:t>
      </w:r>
    </w:p>
    <w:p w:rsidR="00785CE6" w:rsidRPr="00785CE6" w:rsidRDefault="00785CE6" w:rsidP="00C425A4">
      <w:pPr>
        <w:pStyle w:val="a3"/>
        <w:widowControl w:val="0"/>
        <w:spacing w:line="500" w:lineRule="exact"/>
        <w:ind w:leftChars="473" w:left="1839" w:hangingChars="220" w:hanging="704"/>
        <w:rPr>
          <w:rFonts w:ascii="標楷體" w:eastAsia="標楷體" w:hAnsi="標楷體" w:cs="Arial"/>
          <w:color w:val="333333"/>
          <w:sz w:val="32"/>
          <w:szCs w:val="32"/>
        </w:rPr>
      </w:pPr>
      <w:r w:rsidRPr="00785CE6">
        <w:rPr>
          <w:rFonts w:ascii="標楷體" w:eastAsia="標楷體" w:hAnsi="標楷體" w:cs="Arial" w:hint="eastAsia"/>
          <w:color w:val="333333"/>
          <w:sz w:val="32"/>
          <w:szCs w:val="32"/>
        </w:rPr>
        <w:t>四、染有病原性生物，或經流行病學調查認定屬造成食品中毒之病因。</w:t>
      </w:r>
    </w:p>
    <w:p w:rsidR="00785CE6" w:rsidRPr="00785CE6" w:rsidRDefault="00785CE6" w:rsidP="00C425A4">
      <w:pPr>
        <w:pStyle w:val="a3"/>
        <w:widowControl w:val="0"/>
        <w:spacing w:line="500" w:lineRule="exact"/>
        <w:ind w:leftChars="-1" w:left="-2" w:firstLineChars="354" w:firstLine="1133"/>
        <w:rPr>
          <w:rFonts w:ascii="標楷體" w:eastAsia="標楷體" w:hAnsi="標楷體" w:cs="Arial"/>
          <w:color w:val="333333"/>
          <w:sz w:val="32"/>
          <w:szCs w:val="32"/>
        </w:rPr>
      </w:pPr>
      <w:r w:rsidRPr="00785CE6">
        <w:rPr>
          <w:rFonts w:ascii="標楷體" w:eastAsia="標楷體" w:hAnsi="標楷體" w:cs="Arial" w:hint="eastAsia"/>
          <w:color w:val="333333"/>
          <w:sz w:val="32"/>
          <w:szCs w:val="32"/>
        </w:rPr>
        <w:t>五、殘留農藥或動物用藥含量超過安全容許量。</w:t>
      </w:r>
    </w:p>
    <w:p w:rsidR="00785CE6" w:rsidRPr="00785CE6" w:rsidRDefault="00785CE6" w:rsidP="00C425A4">
      <w:pPr>
        <w:pStyle w:val="a3"/>
        <w:widowControl w:val="0"/>
        <w:spacing w:line="500" w:lineRule="exact"/>
        <w:ind w:leftChars="473" w:left="1842" w:hangingChars="221" w:hanging="707"/>
        <w:rPr>
          <w:rFonts w:ascii="標楷體" w:eastAsia="標楷體" w:hAnsi="標楷體" w:cs="Arial"/>
          <w:color w:val="333333"/>
          <w:sz w:val="32"/>
          <w:szCs w:val="32"/>
        </w:rPr>
      </w:pPr>
      <w:r w:rsidRPr="00785CE6">
        <w:rPr>
          <w:rFonts w:ascii="標楷體" w:eastAsia="標楷體" w:hAnsi="標楷體" w:cs="Arial" w:hint="eastAsia"/>
          <w:color w:val="333333"/>
          <w:sz w:val="32"/>
          <w:szCs w:val="32"/>
        </w:rPr>
        <w:t>六、受原子塵或放射能污染，其含量超過安全容許量。</w:t>
      </w:r>
    </w:p>
    <w:p w:rsidR="00785CE6" w:rsidRPr="00785CE6" w:rsidRDefault="00785CE6" w:rsidP="00C425A4">
      <w:pPr>
        <w:pStyle w:val="a3"/>
        <w:widowControl w:val="0"/>
        <w:spacing w:line="500" w:lineRule="exact"/>
        <w:ind w:leftChars="-1" w:left="-2" w:firstLineChars="354" w:firstLine="1133"/>
        <w:rPr>
          <w:rFonts w:ascii="標楷體" w:eastAsia="標楷體" w:hAnsi="標楷體" w:cs="Arial"/>
          <w:color w:val="333333"/>
          <w:sz w:val="32"/>
          <w:szCs w:val="32"/>
        </w:rPr>
      </w:pPr>
      <w:r w:rsidRPr="00785CE6">
        <w:rPr>
          <w:rFonts w:ascii="標楷體" w:eastAsia="標楷體" w:hAnsi="標楷體" w:cs="Arial" w:hint="eastAsia"/>
          <w:color w:val="333333"/>
          <w:sz w:val="32"/>
          <w:szCs w:val="32"/>
        </w:rPr>
        <w:t>七、</w:t>
      </w:r>
      <w:proofErr w:type="gramStart"/>
      <w:r w:rsidRPr="00785CE6">
        <w:rPr>
          <w:rFonts w:ascii="標楷體" w:eastAsia="標楷體" w:hAnsi="標楷體" w:cs="Arial" w:hint="eastAsia"/>
          <w:color w:val="333333"/>
          <w:sz w:val="32"/>
          <w:szCs w:val="32"/>
        </w:rPr>
        <w:t>攙偽或</w:t>
      </w:r>
      <w:proofErr w:type="gramEnd"/>
      <w:r w:rsidRPr="00785CE6">
        <w:rPr>
          <w:rFonts w:ascii="標楷體" w:eastAsia="標楷體" w:hAnsi="標楷體" w:cs="Arial" w:hint="eastAsia"/>
          <w:color w:val="333333"/>
          <w:sz w:val="32"/>
          <w:szCs w:val="32"/>
        </w:rPr>
        <w:t>假冒。</w:t>
      </w:r>
    </w:p>
    <w:p w:rsidR="00785CE6" w:rsidRPr="00785CE6" w:rsidRDefault="00785CE6" w:rsidP="00C425A4">
      <w:pPr>
        <w:pStyle w:val="a3"/>
        <w:widowControl w:val="0"/>
        <w:spacing w:line="500" w:lineRule="exact"/>
        <w:ind w:leftChars="473" w:left="2549" w:hangingChars="442" w:hanging="1414"/>
        <w:rPr>
          <w:rFonts w:ascii="標楷體" w:eastAsia="標楷體" w:hAnsi="標楷體" w:cs="Arial"/>
          <w:color w:val="333333"/>
          <w:sz w:val="32"/>
          <w:szCs w:val="32"/>
        </w:rPr>
      </w:pPr>
      <w:r w:rsidRPr="00785CE6">
        <w:rPr>
          <w:rFonts w:ascii="標楷體" w:eastAsia="標楷體" w:hAnsi="標楷體" w:cs="Arial" w:hint="eastAsia"/>
          <w:color w:val="333333"/>
          <w:sz w:val="32"/>
          <w:szCs w:val="32"/>
        </w:rPr>
        <w:lastRenderedPageBreak/>
        <w:t>八、逾有效日期。</w:t>
      </w:r>
    </w:p>
    <w:p w:rsidR="00785CE6" w:rsidRPr="00785CE6" w:rsidRDefault="00785CE6" w:rsidP="00C425A4">
      <w:pPr>
        <w:pStyle w:val="a3"/>
        <w:widowControl w:val="0"/>
        <w:spacing w:line="500" w:lineRule="exact"/>
        <w:ind w:leftChars="472" w:left="1840" w:hangingChars="221" w:hanging="707"/>
        <w:rPr>
          <w:rFonts w:ascii="標楷體" w:eastAsia="標楷體" w:hAnsi="標楷體" w:cs="Arial"/>
          <w:color w:val="333333"/>
          <w:sz w:val="32"/>
          <w:szCs w:val="32"/>
        </w:rPr>
      </w:pPr>
      <w:r w:rsidRPr="00785CE6">
        <w:rPr>
          <w:rFonts w:ascii="標楷體" w:eastAsia="標楷體" w:hAnsi="標楷體" w:cs="Arial" w:hint="eastAsia"/>
          <w:color w:val="333333"/>
          <w:sz w:val="32"/>
          <w:szCs w:val="32"/>
        </w:rPr>
        <w:t>九、從未於國內供作飲食且未經證明為無害人體健康。</w:t>
      </w:r>
    </w:p>
    <w:p w:rsidR="00785CE6" w:rsidRPr="00785CE6" w:rsidRDefault="00785CE6" w:rsidP="00C425A4">
      <w:pPr>
        <w:pStyle w:val="a3"/>
        <w:widowControl w:val="0"/>
        <w:spacing w:line="500" w:lineRule="exact"/>
        <w:ind w:leftChars="473" w:left="2549" w:hangingChars="442" w:hanging="1414"/>
        <w:rPr>
          <w:rFonts w:ascii="標楷體" w:eastAsia="標楷體" w:hAnsi="標楷體" w:cs="Arial"/>
          <w:color w:val="333333"/>
          <w:sz w:val="32"/>
          <w:szCs w:val="32"/>
        </w:rPr>
      </w:pPr>
      <w:r w:rsidRPr="00785CE6">
        <w:rPr>
          <w:rFonts w:ascii="標楷體" w:eastAsia="標楷體" w:hAnsi="標楷體" w:cs="Arial" w:hint="eastAsia"/>
          <w:color w:val="333333"/>
          <w:sz w:val="32"/>
          <w:szCs w:val="32"/>
        </w:rPr>
        <w:t>十、添加未經中央主管機關許可之添加物。</w:t>
      </w:r>
    </w:p>
    <w:p w:rsidR="00C425A4" w:rsidRDefault="00FD2FA7" w:rsidP="00C425A4">
      <w:pPr>
        <w:pStyle w:val="a3"/>
        <w:widowControl w:val="0"/>
        <w:numPr>
          <w:ilvl w:val="0"/>
          <w:numId w:val="3"/>
        </w:numPr>
        <w:spacing w:line="500" w:lineRule="exact"/>
        <w:ind w:leftChars="0" w:left="1134" w:hanging="425"/>
        <w:rPr>
          <w:rFonts w:ascii="標楷體" w:eastAsia="標楷體" w:hAnsi="標楷體" w:cs="Arial"/>
          <w:color w:val="333333"/>
          <w:sz w:val="32"/>
          <w:szCs w:val="32"/>
        </w:rPr>
      </w:pPr>
      <w:r w:rsidRPr="00C425A4">
        <w:rPr>
          <w:rFonts w:ascii="標楷體" w:eastAsia="標楷體" w:hAnsi="標楷體" w:cs="Arial" w:hint="eastAsia"/>
          <w:color w:val="333333"/>
          <w:sz w:val="32"/>
          <w:szCs w:val="32"/>
        </w:rPr>
        <w:t>食安法</w:t>
      </w:r>
      <w:r w:rsidRPr="00C425A4">
        <w:rPr>
          <w:rFonts w:ascii="標楷體" w:eastAsia="標楷體" w:hAnsi="標楷體" w:cs="Arial"/>
          <w:color w:val="333333"/>
          <w:sz w:val="32"/>
          <w:szCs w:val="32"/>
        </w:rPr>
        <w:t>第41條第1項第4</w:t>
      </w:r>
      <w:r w:rsidR="00785CE6" w:rsidRPr="00C425A4">
        <w:rPr>
          <w:rFonts w:ascii="標楷體" w:eastAsia="標楷體" w:hAnsi="標楷體" w:cs="Arial"/>
          <w:color w:val="333333"/>
          <w:sz w:val="32"/>
          <w:szCs w:val="32"/>
        </w:rPr>
        <w:t>款規定：</w:t>
      </w:r>
      <w:r w:rsidR="00C425A4" w:rsidRPr="00C425A4">
        <w:rPr>
          <w:rFonts w:ascii="標楷體" w:eastAsia="標楷體" w:hAnsi="標楷體" w:cs="Arial" w:hint="eastAsia"/>
          <w:color w:val="333333"/>
          <w:sz w:val="32"/>
          <w:szCs w:val="32"/>
        </w:rPr>
        <w:t>主管機關為確保食品符合本法規定，對於違反第</w:t>
      </w:r>
      <w:r w:rsidR="00C425A4" w:rsidRPr="00C425A4">
        <w:rPr>
          <w:rFonts w:ascii="標楷體" w:eastAsia="標楷體" w:hAnsi="標楷體" w:cs="Arial"/>
          <w:color w:val="333333"/>
          <w:sz w:val="32"/>
          <w:szCs w:val="32"/>
        </w:rPr>
        <w:t>8條第1項、第15條第1項、第4項、第16條、中央主管機關依第17條、第18條或第19條所定標準之虞者，得命食品業者暫停作業及停止販賣，並封存該產品。</w:t>
      </w:r>
    </w:p>
    <w:p w:rsidR="00FD2FA7" w:rsidRPr="00C425A4" w:rsidRDefault="00FD2FA7" w:rsidP="00C425A4">
      <w:pPr>
        <w:pStyle w:val="a3"/>
        <w:widowControl w:val="0"/>
        <w:numPr>
          <w:ilvl w:val="0"/>
          <w:numId w:val="3"/>
        </w:numPr>
        <w:spacing w:line="500" w:lineRule="exact"/>
        <w:ind w:leftChars="0" w:left="1134" w:hanging="425"/>
        <w:rPr>
          <w:rFonts w:ascii="標楷體" w:eastAsia="標楷體" w:hAnsi="標楷體" w:cs="Arial"/>
          <w:color w:val="333333"/>
          <w:sz w:val="32"/>
          <w:szCs w:val="32"/>
        </w:rPr>
      </w:pPr>
      <w:r w:rsidRPr="00C425A4">
        <w:rPr>
          <w:rFonts w:ascii="標楷體" w:eastAsia="標楷體" w:hAnsi="標楷體" w:cs="Arial" w:hint="eastAsia"/>
          <w:color w:val="333333"/>
          <w:sz w:val="32"/>
          <w:szCs w:val="32"/>
        </w:rPr>
        <w:t>食安法第52條規定：當地直轄市、縣（市）主管機關依食品查核或檢驗結果，有第15條第1項所列各款情形之</w:t>
      </w:r>
      <w:proofErr w:type="gramStart"/>
      <w:r w:rsidRPr="00C425A4">
        <w:rPr>
          <w:rFonts w:ascii="標楷體" w:eastAsia="標楷體" w:hAnsi="標楷體" w:cs="Arial" w:hint="eastAsia"/>
          <w:color w:val="333333"/>
          <w:sz w:val="32"/>
          <w:szCs w:val="32"/>
        </w:rPr>
        <w:t>一</w:t>
      </w:r>
      <w:proofErr w:type="gramEnd"/>
      <w:r w:rsidRPr="00C425A4">
        <w:rPr>
          <w:rFonts w:ascii="標楷體" w:eastAsia="標楷體" w:hAnsi="標楷體" w:cs="Arial" w:hint="eastAsia"/>
          <w:color w:val="333333"/>
          <w:sz w:val="32"/>
          <w:szCs w:val="32"/>
        </w:rPr>
        <w:t>者，應予沒入銷毀。</w:t>
      </w:r>
    </w:p>
    <w:p w:rsidR="00FD2FA7" w:rsidRPr="002F7801" w:rsidRDefault="00FD2FA7" w:rsidP="00C425A4">
      <w:pPr>
        <w:pStyle w:val="a3"/>
        <w:widowControl w:val="0"/>
        <w:spacing w:line="500" w:lineRule="exact"/>
        <w:ind w:leftChars="0" w:left="1134"/>
        <w:rPr>
          <w:rFonts w:ascii="標楷體" w:eastAsia="標楷體" w:hAnsi="標楷體" w:cs="Arial"/>
          <w:color w:val="333333"/>
          <w:sz w:val="32"/>
          <w:szCs w:val="32"/>
        </w:rPr>
      </w:pPr>
      <w:r w:rsidRPr="002F7801">
        <w:rPr>
          <w:rFonts w:ascii="標楷體" w:eastAsia="標楷體" w:hAnsi="標楷體" w:cs="Arial" w:hint="eastAsia"/>
          <w:color w:val="333333"/>
          <w:sz w:val="32"/>
          <w:szCs w:val="32"/>
        </w:rPr>
        <w:t>應予沒入之產品，應先命製造、販賣或輸入者立即公告停止使用或食用，並予回收、銷毀。必要時，當地直轄市、縣（市）主</w:t>
      </w:r>
      <w:r w:rsidRPr="00746AE3">
        <w:rPr>
          <w:rFonts w:ascii="標楷體" w:eastAsia="標楷體" w:hAnsi="標楷體" w:cs="Arial" w:hint="eastAsia"/>
          <w:color w:val="333333"/>
          <w:sz w:val="32"/>
          <w:szCs w:val="32"/>
        </w:rPr>
        <w:t>管機關得代為回收、銷毀，並收取必要之費用。</w:t>
      </w:r>
    </w:p>
    <w:p w:rsidR="00FD2FA7" w:rsidRPr="002F7801" w:rsidRDefault="00FD2FA7" w:rsidP="00C425A4">
      <w:pPr>
        <w:pStyle w:val="a3"/>
        <w:widowControl w:val="0"/>
        <w:spacing w:line="500" w:lineRule="exact"/>
        <w:ind w:leftChars="0" w:left="1134"/>
        <w:rPr>
          <w:rFonts w:ascii="標楷體" w:eastAsia="標楷體" w:hAnsi="標楷體" w:cs="Arial"/>
          <w:color w:val="333333"/>
          <w:sz w:val="32"/>
          <w:szCs w:val="32"/>
        </w:rPr>
      </w:pPr>
      <w:r w:rsidRPr="002F7801">
        <w:rPr>
          <w:rFonts w:ascii="標楷體" w:eastAsia="標楷體" w:hAnsi="標楷體" w:cs="Arial" w:hint="eastAsia"/>
          <w:color w:val="333333"/>
          <w:sz w:val="32"/>
          <w:szCs w:val="32"/>
        </w:rPr>
        <w:t>違規</w:t>
      </w:r>
      <w:r w:rsidRPr="00746AE3">
        <w:rPr>
          <w:rFonts w:ascii="標楷體" w:eastAsia="標楷體" w:hAnsi="標楷體" w:cs="Arial" w:hint="eastAsia"/>
          <w:color w:val="333333"/>
          <w:sz w:val="32"/>
          <w:szCs w:val="32"/>
        </w:rPr>
        <w:t>食品業者，由當地直轄市、縣（市）主管機關公布其商號、地址</w:t>
      </w:r>
      <w:r w:rsidRPr="002F7801">
        <w:rPr>
          <w:rFonts w:ascii="標楷體" w:eastAsia="標楷體" w:hAnsi="標楷體" w:cs="Arial" w:hint="eastAsia"/>
          <w:color w:val="333333"/>
          <w:sz w:val="32"/>
          <w:szCs w:val="32"/>
        </w:rPr>
        <w:t>、負責人姓名、商品名稱及違法情節。</w:t>
      </w:r>
    </w:p>
    <w:p w:rsidR="00FD2FA7" w:rsidRPr="002F7801" w:rsidRDefault="00FD2FA7" w:rsidP="00C425A4">
      <w:pPr>
        <w:pStyle w:val="a3"/>
        <w:widowControl w:val="0"/>
        <w:numPr>
          <w:ilvl w:val="0"/>
          <w:numId w:val="3"/>
        </w:numPr>
        <w:spacing w:line="500" w:lineRule="exact"/>
        <w:ind w:leftChars="0" w:left="1134" w:hanging="425"/>
        <w:rPr>
          <w:rFonts w:ascii="標楷體" w:eastAsia="標楷體" w:hAnsi="標楷體" w:cs="Arial"/>
          <w:color w:val="333333"/>
          <w:sz w:val="32"/>
          <w:szCs w:val="32"/>
        </w:rPr>
      </w:pPr>
      <w:r w:rsidRPr="002F7801">
        <w:rPr>
          <w:rFonts w:ascii="標楷體" w:eastAsia="標楷體" w:hAnsi="標楷體" w:cs="Arial" w:hint="eastAsia"/>
          <w:color w:val="333333"/>
          <w:sz w:val="32"/>
          <w:szCs w:val="32"/>
        </w:rPr>
        <w:t>消費者保護法第36條：政府對於企業經營者提供之商品，經同法第33條之調查，認為確有損害消費者生命、身體、健康或財產之虞者，</w:t>
      </w:r>
      <w:proofErr w:type="gramStart"/>
      <w:r w:rsidRPr="002F7801">
        <w:rPr>
          <w:rFonts w:ascii="標楷體" w:eastAsia="標楷體" w:hAnsi="標楷體" w:cs="Arial" w:hint="eastAsia"/>
          <w:color w:val="333333"/>
          <w:sz w:val="32"/>
          <w:szCs w:val="32"/>
        </w:rPr>
        <w:t>應命其</w:t>
      </w:r>
      <w:proofErr w:type="gramEnd"/>
      <w:r w:rsidRPr="002F7801">
        <w:rPr>
          <w:rFonts w:ascii="標楷體" w:eastAsia="標楷體" w:hAnsi="標楷體" w:cs="Arial" w:hint="eastAsia"/>
          <w:color w:val="333333"/>
          <w:sz w:val="32"/>
          <w:szCs w:val="32"/>
        </w:rPr>
        <w:t>限期改善、回收或銷</w:t>
      </w:r>
      <w:proofErr w:type="gramStart"/>
      <w:r w:rsidRPr="002F7801">
        <w:rPr>
          <w:rFonts w:ascii="標楷體" w:eastAsia="標楷體" w:hAnsi="標楷體" w:cs="Arial" w:hint="eastAsia"/>
          <w:color w:val="333333"/>
          <w:sz w:val="32"/>
          <w:szCs w:val="32"/>
        </w:rPr>
        <w:t>燬</w:t>
      </w:r>
      <w:proofErr w:type="gramEnd"/>
      <w:r w:rsidRPr="002F7801">
        <w:rPr>
          <w:rFonts w:ascii="標楷體" w:eastAsia="標楷體" w:hAnsi="標楷體" w:cs="Arial" w:hint="eastAsia"/>
          <w:color w:val="333333"/>
          <w:sz w:val="32"/>
          <w:szCs w:val="32"/>
        </w:rPr>
        <w:t>，必要時並得命企業經營者立即停止該商品之製造、經銷或採取其他必要措施。</w:t>
      </w:r>
    </w:p>
    <w:p w:rsidR="00FD2FA7" w:rsidRPr="002F7801" w:rsidRDefault="00FD2FA7" w:rsidP="00C425A4">
      <w:pPr>
        <w:pStyle w:val="a3"/>
        <w:numPr>
          <w:ilvl w:val="1"/>
          <w:numId w:val="2"/>
        </w:numPr>
        <w:spacing w:line="500" w:lineRule="exact"/>
        <w:ind w:leftChars="0" w:left="709" w:hanging="709"/>
        <w:rPr>
          <w:rFonts w:ascii="標楷體" w:eastAsia="標楷體" w:hAnsi="標楷體" w:cs="Arial"/>
          <w:color w:val="333333"/>
          <w:sz w:val="32"/>
          <w:szCs w:val="32"/>
        </w:rPr>
      </w:pPr>
      <w:r>
        <w:rPr>
          <w:rFonts w:ascii="標楷體" w:eastAsia="標楷體" w:hAnsi="標楷體" w:cs="Arial" w:hint="eastAsia"/>
          <w:color w:val="333333"/>
          <w:sz w:val="32"/>
          <w:szCs w:val="32"/>
        </w:rPr>
        <w:t>下架</w:t>
      </w:r>
      <w:r w:rsidRPr="002F7801">
        <w:rPr>
          <w:rFonts w:ascii="標楷體" w:eastAsia="標楷體" w:hAnsi="標楷體" w:cs="Arial" w:hint="eastAsia"/>
          <w:color w:val="333333"/>
          <w:sz w:val="32"/>
          <w:szCs w:val="32"/>
        </w:rPr>
        <w:t>原則：</w:t>
      </w:r>
    </w:p>
    <w:p w:rsidR="00FD2FA7" w:rsidRPr="002F7801" w:rsidRDefault="00C76CEF" w:rsidP="00C425A4">
      <w:pPr>
        <w:pStyle w:val="a3"/>
        <w:widowControl w:val="0"/>
        <w:numPr>
          <w:ilvl w:val="0"/>
          <w:numId w:val="4"/>
        </w:numPr>
        <w:spacing w:line="480" w:lineRule="exact"/>
        <w:ind w:leftChars="0" w:left="1134" w:hanging="425"/>
        <w:rPr>
          <w:rFonts w:ascii="標楷體" w:eastAsia="標楷體" w:hAnsi="標楷體" w:cs="Arial"/>
          <w:color w:val="333333"/>
          <w:sz w:val="32"/>
          <w:szCs w:val="32"/>
        </w:rPr>
      </w:pPr>
      <w:r>
        <w:rPr>
          <w:rFonts w:ascii="標楷體" w:eastAsia="標楷體" w:hAnsi="標楷體" w:cs="Arial" w:hint="eastAsia"/>
          <w:color w:val="333333"/>
          <w:sz w:val="32"/>
          <w:szCs w:val="32"/>
        </w:rPr>
        <w:t>為確保消費者</w:t>
      </w:r>
      <w:r w:rsidR="00FD2FA7" w:rsidRPr="002F7801">
        <w:rPr>
          <w:rFonts w:ascii="標楷體" w:eastAsia="標楷體" w:hAnsi="標楷體" w:cs="Arial" w:hint="eastAsia"/>
          <w:color w:val="333333"/>
          <w:sz w:val="32"/>
          <w:szCs w:val="32"/>
        </w:rPr>
        <w:t>健康</w:t>
      </w:r>
      <w:r w:rsidR="00FA4ECB">
        <w:rPr>
          <w:rFonts w:ascii="標楷體" w:eastAsia="標楷體" w:hAnsi="標楷體" w:cs="Arial" w:hint="eastAsia"/>
          <w:color w:val="333333"/>
          <w:sz w:val="32"/>
          <w:szCs w:val="32"/>
        </w:rPr>
        <w:t>，降低其對產品</w:t>
      </w:r>
      <w:r w:rsidR="00FD2FA7" w:rsidRPr="002F7801">
        <w:rPr>
          <w:rFonts w:ascii="標楷體" w:eastAsia="標楷體" w:hAnsi="標楷體" w:cs="Arial" w:hint="eastAsia"/>
          <w:color w:val="333333"/>
          <w:sz w:val="32"/>
          <w:szCs w:val="32"/>
        </w:rPr>
        <w:t>疑慮，</w:t>
      </w:r>
      <w:r w:rsidR="00FD2FA7" w:rsidRPr="00C76CEF">
        <w:rPr>
          <w:rFonts w:ascii="標楷體" w:eastAsia="標楷體" w:hAnsi="標楷體" w:cs="Arial"/>
          <w:color w:val="333333"/>
          <w:sz w:val="32"/>
          <w:szCs w:val="32"/>
        </w:rPr>
        <w:t>在</w:t>
      </w:r>
      <w:r w:rsidRPr="00C76CEF">
        <w:rPr>
          <w:rFonts w:ascii="標楷體" w:eastAsia="標楷體" w:hAnsi="標楷體" w:cs="Arial" w:hint="eastAsia"/>
          <w:color w:val="333333"/>
          <w:sz w:val="32"/>
          <w:szCs w:val="32"/>
        </w:rPr>
        <w:t>疑似</w:t>
      </w:r>
      <w:r w:rsidR="00FD2FA7" w:rsidRPr="00C76CEF">
        <w:rPr>
          <w:rFonts w:ascii="標楷體" w:eastAsia="標楷體" w:hAnsi="標楷體" w:cs="Arial" w:hint="eastAsia"/>
          <w:color w:val="333333"/>
          <w:sz w:val="32"/>
          <w:szCs w:val="32"/>
        </w:rPr>
        <w:t>發生</w:t>
      </w:r>
      <w:r w:rsidR="00FD2FA7" w:rsidRPr="00FD2FA7">
        <w:rPr>
          <w:rFonts w:ascii="標楷體" w:eastAsia="標楷體" w:hAnsi="標楷體" w:cs="Arial" w:hint="eastAsia"/>
          <w:color w:val="333333"/>
          <w:sz w:val="32"/>
          <w:szCs w:val="32"/>
        </w:rPr>
        <w:t>重大或突發性食品衛生安全事件</w:t>
      </w:r>
      <w:r w:rsidR="00FD2FA7" w:rsidRPr="00C76CEF">
        <w:rPr>
          <w:rFonts w:ascii="標楷體" w:eastAsia="標楷體" w:hAnsi="標楷體" w:cs="Arial"/>
          <w:color w:val="333333"/>
          <w:sz w:val="32"/>
          <w:szCs w:val="32"/>
        </w:rPr>
        <w:t>，</w:t>
      </w:r>
      <w:r w:rsidR="00FA4ECB">
        <w:rPr>
          <w:rFonts w:ascii="標楷體" w:eastAsia="標楷體" w:hAnsi="標楷體" w:cs="Arial" w:hint="eastAsia"/>
          <w:color w:val="333333"/>
          <w:sz w:val="32"/>
          <w:szCs w:val="32"/>
        </w:rPr>
        <w:t>或接獲訊息可</w:t>
      </w:r>
      <w:r w:rsidR="00FA4ECB">
        <w:rPr>
          <w:rFonts w:ascii="標楷體" w:eastAsia="標楷體" w:hAnsi="標楷體" w:cs="Arial" w:hint="eastAsia"/>
          <w:color w:val="333333"/>
          <w:sz w:val="32"/>
          <w:szCs w:val="32"/>
        </w:rPr>
        <w:lastRenderedPageBreak/>
        <w:t>能有非食品物質混</w:t>
      </w:r>
      <w:r w:rsidR="00785CE6">
        <w:rPr>
          <w:rFonts w:ascii="標楷體" w:eastAsia="標楷體" w:hAnsi="標楷體" w:cs="Arial" w:hint="eastAsia"/>
          <w:color w:val="333333"/>
          <w:sz w:val="32"/>
          <w:szCs w:val="32"/>
        </w:rPr>
        <w:t>入</w:t>
      </w:r>
      <w:r w:rsidR="00FA4ECB">
        <w:rPr>
          <w:rFonts w:ascii="標楷體" w:eastAsia="標楷體" w:hAnsi="標楷體" w:cs="Arial" w:hint="eastAsia"/>
          <w:color w:val="333333"/>
          <w:sz w:val="32"/>
          <w:szCs w:val="32"/>
        </w:rPr>
        <w:t>食品</w:t>
      </w:r>
      <w:r w:rsidR="00A228BA" w:rsidRPr="00C76CEF">
        <w:rPr>
          <w:rFonts w:ascii="標楷體" w:eastAsia="標楷體" w:hAnsi="標楷體" w:cs="Arial"/>
          <w:color w:val="333333"/>
          <w:sz w:val="32"/>
          <w:szCs w:val="32"/>
        </w:rPr>
        <w:t>的情況下</w:t>
      </w:r>
      <w:r w:rsidR="00FA4ECB">
        <w:rPr>
          <w:rFonts w:ascii="標楷體" w:eastAsia="標楷體" w:hAnsi="標楷體" w:cs="Arial" w:hint="eastAsia"/>
          <w:color w:val="333333"/>
          <w:sz w:val="32"/>
          <w:szCs w:val="32"/>
        </w:rPr>
        <w:t>，</w:t>
      </w:r>
      <w:r w:rsidR="00FD2FA7" w:rsidRPr="00FD2FA7">
        <w:rPr>
          <w:rFonts w:ascii="標楷體" w:eastAsia="標楷體" w:hAnsi="標楷體" w:cs="Arial" w:hint="eastAsia"/>
          <w:color w:val="333333"/>
          <w:sz w:val="32"/>
          <w:szCs w:val="32"/>
        </w:rPr>
        <w:t>中央</w:t>
      </w:r>
      <w:r w:rsidR="00421D1C" w:rsidRPr="00665765">
        <w:rPr>
          <w:rFonts w:ascii="標楷體" w:eastAsia="標楷體" w:hAnsi="標楷體" w:cs="Arial" w:hint="eastAsia"/>
          <w:b/>
          <w:color w:val="333333"/>
          <w:sz w:val="32"/>
          <w:szCs w:val="32"/>
          <w:u w:val="single"/>
        </w:rPr>
        <w:t>或直轄市、</w:t>
      </w:r>
      <w:r w:rsidR="00B53210" w:rsidRPr="00665765">
        <w:rPr>
          <w:rFonts w:ascii="標楷體" w:eastAsia="標楷體" w:hAnsi="標楷體" w:cs="Arial" w:hint="eastAsia"/>
          <w:b/>
          <w:color w:val="333333"/>
          <w:sz w:val="32"/>
          <w:szCs w:val="32"/>
          <w:u w:val="single"/>
        </w:rPr>
        <w:t>縣</w:t>
      </w:r>
      <w:r w:rsidR="00421D1C" w:rsidRPr="00665765">
        <w:rPr>
          <w:rFonts w:ascii="標楷體" w:eastAsia="標楷體" w:hAnsi="標楷體" w:cs="Arial" w:hint="eastAsia"/>
          <w:b/>
          <w:color w:val="333333"/>
          <w:sz w:val="32"/>
          <w:szCs w:val="32"/>
          <w:u w:val="single"/>
        </w:rPr>
        <w:t>(市)</w:t>
      </w:r>
      <w:r w:rsidR="00FD2FA7" w:rsidRPr="00FD2FA7">
        <w:rPr>
          <w:rFonts w:ascii="標楷體" w:eastAsia="標楷體" w:hAnsi="標楷體" w:cs="Arial" w:hint="eastAsia"/>
          <w:color w:val="333333"/>
          <w:sz w:val="32"/>
          <w:szCs w:val="32"/>
        </w:rPr>
        <w:t>主管機關</w:t>
      </w:r>
      <w:r>
        <w:rPr>
          <w:rFonts w:ascii="標楷體" w:eastAsia="標楷體" w:hAnsi="標楷體" w:cs="Arial" w:hint="eastAsia"/>
          <w:color w:val="333333"/>
          <w:sz w:val="32"/>
          <w:szCs w:val="32"/>
        </w:rPr>
        <w:t>依現有資訊</w:t>
      </w:r>
      <w:r w:rsidR="00785CE6">
        <w:rPr>
          <w:rFonts w:ascii="標楷體" w:eastAsia="標楷體" w:hAnsi="標楷體" w:cs="Arial" w:hint="eastAsia"/>
          <w:color w:val="333333"/>
          <w:sz w:val="32"/>
          <w:szCs w:val="32"/>
        </w:rPr>
        <w:t>研判</w:t>
      </w:r>
      <w:r w:rsidR="00FD2FA7" w:rsidRPr="00C76CEF">
        <w:rPr>
          <w:rFonts w:ascii="標楷體" w:eastAsia="標楷體" w:hAnsi="標楷體" w:cs="Arial"/>
          <w:color w:val="333333"/>
          <w:sz w:val="32"/>
          <w:szCs w:val="32"/>
        </w:rPr>
        <w:t>有</w:t>
      </w:r>
      <w:r w:rsidRPr="00C76CEF">
        <w:rPr>
          <w:rFonts w:ascii="標楷體" w:eastAsia="標楷體" w:hAnsi="標楷體" w:cs="Arial" w:hint="eastAsia"/>
          <w:color w:val="333333"/>
          <w:sz w:val="32"/>
          <w:szCs w:val="32"/>
        </w:rPr>
        <w:t>傷害</w:t>
      </w:r>
      <w:r w:rsidR="00FA4ECB">
        <w:rPr>
          <w:rFonts w:ascii="標楷體" w:eastAsia="標楷體" w:hAnsi="標楷體" w:cs="Arial" w:hint="eastAsia"/>
          <w:color w:val="333333"/>
          <w:sz w:val="32"/>
          <w:szCs w:val="32"/>
        </w:rPr>
        <w:t>民眾</w:t>
      </w:r>
      <w:r w:rsidRPr="00C76CEF">
        <w:rPr>
          <w:rFonts w:ascii="標楷體" w:eastAsia="標楷體" w:hAnsi="標楷體" w:cs="Arial"/>
          <w:color w:val="333333"/>
          <w:sz w:val="32"/>
          <w:szCs w:val="32"/>
        </w:rPr>
        <w:t>健康的可能性</w:t>
      </w:r>
      <w:r w:rsidRPr="00C76CEF">
        <w:rPr>
          <w:rFonts w:ascii="標楷體" w:eastAsia="標楷體" w:hAnsi="標楷體" w:cs="Arial" w:hint="eastAsia"/>
          <w:color w:val="333333"/>
          <w:sz w:val="32"/>
          <w:szCs w:val="32"/>
        </w:rPr>
        <w:t>時</w:t>
      </w:r>
      <w:r w:rsidR="00FD2FA7" w:rsidRPr="00C76CEF">
        <w:rPr>
          <w:rFonts w:ascii="標楷體" w:eastAsia="標楷體" w:hAnsi="標楷體" w:cs="Arial"/>
          <w:color w:val="333333"/>
          <w:sz w:val="32"/>
          <w:szCs w:val="32"/>
        </w:rPr>
        <w:t>，儘管</w:t>
      </w:r>
      <w:r w:rsidRPr="00C76CEF">
        <w:rPr>
          <w:rFonts w:ascii="標楷體" w:eastAsia="標楷體" w:hAnsi="標楷體" w:cs="Arial" w:hint="eastAsia"/>
          <w:color w:val="333333"/>
          <w:sz w:val="32"/>
          <w:szCs w:val="32"/>
        </w:rPr>
        <w:t>尚未有明確證據</w:t>
      </w:r>
      <w:r w:rsidR="00FD2FA7" w:rsidRPr="00C76CEF">
        <w:rPr>
          <w:rFonts w:ascii="標楷體" w:eastAsia="標楷體" w:hAnsi="標楷體" w:cs="Arial"/>
          <w:color w:val="333333"/>
          <w:sz w:val="32"/>
          <w:szCs w:val="32"/>
        </w:rPr>
        <w:t>，在等待</w:t>
      </w:r>
      <w:r w:rsidR="0067473F">
        <w:rPr>
          <w:rFonts w:ascii="標楷體" w:eastAsia="標楷體" w:hAnsi="標楷體" w:cs="Arial" w:hint="eastAsia"/>
          <w:color w:val="333333"/>
          <w:sz w:val="32"/>
          <w:szCs w:val="32"/>
        </w:rPr>
        <w:t>查</w:t>
      </w:r>
      <w:r w:rsidRPr="00C76CEF">
        <w:rPr>
          <w:rFonts w:ascii="標楷體" w:eastAsia="標楷體" w:hAnsi="標楷體" w:cs="Arial" w:hint="eastAsia"/>
          <w:color w:val="333333"/>
          <w:sz w:val="32"/>
          <w:szCs w:val="32"/>
        </w:rPr>
        <w:t>驗結果</w:t>
      </w:r>
      <w:r w:rsidR="00FD2FA7" w:rsidRPr="00C76CEF">
        <w:rPr>
          <w:rFonts w:ascii="標楷體" w:eastAsia="標楷體" w:hAnsi="標楷體" w:cs="Arial"/>
          <w:color w:val="333333"/>
          <w:sz w:val="32"/>
          <w:szCs w:val="32"/>
        </w:rPr>
        <w:t>以</w:t>
      </w:r>
      <w:r w:rsidRPr="00C76CEF">
        <w:rPr>
          <w:rFonts w:ascii="標楷體" w:eastAsia="標楷體" w:hAnsi="標楷體" w:cs="Arial" w:hint="eastAsia"/>
          <w:color w:val="333333"/>
          <w:sz w:val="32"/>
          <w:szCs w:val="32"/>
        </w:rPr>
        <w:t>完成</w:t>
      </w:r>
      <w:r w:rsidR="00A228BA">
        <w:rPr>
          <w:rFonts w:ascii="標楷體" w:eastAsia="標楷體" w:hAnsi="標楷體" w:cs="Arial" w:hint="eastAsia"/>
          <w:color w:val="333333"/>
          <w:sz w:val="32"/>
          <w:szCs w:val="32"/>
        </w:rPr>
        <w:t>事證蒐集程序</w:t>
      </w:r>
      <w:r w:rsidR="00FD2FA7" w:rsidRPr="00C76CEF">
        <w:rPr>
          <w:rFonts w:ascii="標楷體" w:eastAsia="標楷體" w:hAnsi="標楷體" w:cs="Arial"/>
          <w:color w:val="333333"/>
          <w:sz w:val="32"/>
          <w:szCs w:val="32"/>
        </w:rPr>
        <w:t>前，</w:t>
      </w:r>
      <w:r w:rsidR="00A228BA" w:rsidRPr="00A228BA">
        <w:rPr>
          <w:rFonts w:ascii="標楷體" w:eastAsia="標楷體" w:hAnsi="標楷體" w:cs="Arial"/>
          <w:color w:val="333333"/>
          <w:sz w:val="32"/>
          <w:szCs w:val="32"/>
        </w:rPr>
        <w:t>為有效</w:t>
      </w:r>
      <w:r w:rsidR="00A228BA" w:rsidRPr="00A228BA">
        <w:rPr>
          <w:rFonts w:ascii="標楷體" w:eastAsia="標楷體" w:hAnsi="標楷體" w:cs="Arial" w:hint="eastAsia"/>
          <w:color w:val="333333"/>
          <w:sz w:val="32"/>
          <w:szCs w:val="32"/>
        </w:rPr>
        <w:t>即</w:t>
      </w:r>
      <w:r w:rsidR="00A228BA" w:rsidRPr="00A228BA">
        <w:rPr>
          <w:rFonts w:ascii="標楷體" w:eastAsia="標楷體" w:hAnsi="標楷體" w:cs="Arial"/>
          <w:color w:val="333333"/>
          <w:sz w:val="32"/>
          <w:szCs w:val="32"/>
        </w:rPr>
        <w:t>時提供食品安全保障</w:t>
      </w:r>
      <w:r w:rsidR="00A228BA">
        <w:rPr>
          <w:rFonts w:ascii="標楷體" w:eastAsia="標楷體" w:hAnsi="標楷體" w:cs="Arial" w:hint="eastAsia"/>
          <w:color w:val="333333"/>
          <w:sz w:val="32"/>
          <w:szCs w:val="32"/>
        </w:rPr>
        <w:t>，</w:t>
      </w:r>
      <w:r w:rsidRPr="00C76CEF">
        <w:rPr>
          <w:rFonts w:ascii="標楷體" w:eastAsia="標楷體" w:hAnsi="標楷體" w:cs="Arial" w:hint="eastAsia"/>
          <w:color w:val="333333"/>
          <w:sz w:val="32"/>
          <w:szCs w:val="32"/>
        </w:rPr>
        <w:t>可</w:t>
      </w:r>
      <w:r w:rsidR="00A228BA" w:rsidRPr="00A228BA">
        <w:rPr>
          <w:rFonts w:ascii="標楷體" w:eastAsia="標楷體" w:hAnsi="標楷體" w:cs="Arial"/>
          <w:color w:val="333333"/>
          <w:sz w:val="32"/>
          <w:szCs w:val="32"/>
        </w:rPr>
        <w:t>採取預防性地</w:t>
      </w:r>
      <w:r w:rsidR="00A228BA" w:rsidRPr="00C76CEF">
        <w:rPr>
          <w:rFonts w:ascii="標楷體" w:eastAsia="標楷體" w:hAnsi="標楷體" w:cs="Arial" w:hint="eastAsia"/>
          <w:color w:val="333333"/>
          <w:sz w:val="32"/>
          <w:szCs w:val="32"/>
        </w:rPr>
        <w:t>措施</w:t>
      </w:r>
      <w:r w:rsidR="00A228BA">
        <w:rPr>
          <w:rFonts w:ascii="標楷體" w:eastAsia="標楷體" w:hAnsi="標楷體" w:cs="Arial"/>
          <w:color w:val="333333"/>
          <w:sz w:val="32"/>
          <w:szCs w:val="32"/>
        </w:rPr>
        <w:t>，</w:t>
      </w:r>
      <w:r w:rsidR="00A228BA" w:rsidRPr="00A228BA">
        <w:rPr>
          <w:rFonts w:ascii="標楷體" w:eastAsia="標楷體" w:hAnsi="標楷體" w:cs="Arial"/>
          <w:color w:val="333333"/>
          <w:sz w:val="32"/>
          <w:szCs w:val="32"/>
        </w:rPr>
        <w:t>要求可疑產品下架</w:t>
      </w:r>
      <w:r w:rsidRPr="00C76CEF">
        <w:rPr>
          <w:rFonts w:ascii="標楷體" w:eastAsia="標楷體" w:hAnsi="標楷體" w:cs="Arial" w:hint="eastAsia"/>
          <w:color w:val="333333"/>
          <w:sz w:val="32"/>
          <w:szCs w:val="32"/>
        </w:rPr>
        <w:t>。</w:t>
      </w:r>
    </w:p>
    <w:p w:rsidR="00C16AE6" w:rsidRPr="00C425A4" w:rsidRDefault="00FD2FA7" w:rsidP="00C425A4">
      <w:pPr>
        <w:pStyle w:val="a3"/>
        <w:widowControl w:val="0"/>
        <w:numPr>
          <w:ilvl w:val="0"/>
          <w:numId w:val="4"/>
        </w:numPr>
        <w:spacing w:line="480" w:lineRule="exact"/>
        <w:ind w:leftChars="0" w:left="1134" w:hanging="425"/>
        <w:rPr>
          <w:rFonts w:ascii="標楷體" w:eastAsia="標楷體" w:hAnsi="標楷體" w:cs="Arial"/>
          <w:color w:val="333333"/>
          <w:sz w:val="32"/>
          <w:szCs w:val="32"/>
        </w:rPr>
      </w:pPr>
      <w:r w:rsidRPr="002F7801">
        <w:rPr>
          <w:rFonts w:ascii="標楷體" w:eastAsia="標楷體" w:hAnsi="標楷體" w:cs="Arial" w:hint="eastAsia"/>
          <w:color w:val="333333"/>
          <w:sz w:val="32"/>
          <w:szCs w:val="32"/>
        </w:rPr>
        <w:t>待主管機關調查確認產品安全</w:t>
      </w:r>
      <w:proofErr w:type="gramStart"/>
      <w:r w:rsidRPr="002F7801">
        <w:rPr>
          <w:rFonts w:ascii="標楷體" w:eastAsia="標楷體" w:hAnsi="標楷體" w:cs="Arial" w:hint="eastAsia"/>
          <w:color w:val="333333"/>
          <w:sz w:val="32"/>
          <w:szCs w:val="32"/>
        </w:rPr>
        <w:t>無虞</w:t>
      </w:r>
      <w:r w:rsidR="00C76CEF">
        <w:rPr>
          <w:rFonts w:ascii="標楷體" w:eastAsia="標楷體" w:hAnsi="標楷體" w:cs="Arial" w:hint="eastAsia"/>
          <w:color w:val="333333"/>
          <w:sz w:val="32"/>
          <w:szCs w:val="32"/>
        </w:rPr>
        <w:t>或檢驗</w:t>
      </w:r>
      <w:proofErr w:type="gramEnd"/>
      <w:r w:rsidR="00C76CEF">
        <w:rPr>
          <w:rFonts w:ascii="標楷體" w:eastAsia="標楷體" w:hAnsi="標楷體" w:cs="Arial" w:hint="eastAsia"/>
          <w:color w:val="333333"/>
          <w:sz w:val="32"/>
          <w:szCs w:val="32"/>
        </w:rPr>
        <w:t>結果未有傷害人體健康</w:t>
      </w:r>
      <w:r w:rsidR="00A228BA">
        <w:rPr>
          <w:rFonts w:ascii="標楷體" w:eastAsia="標楷體" w:hAnsi="標楷體" w:cs="Arial" w:hint="eastAsia"/>
          <w:color w:val="333333"/>
          <w:sz w:val="32"/>
          <w:szCs w:val="32"/>
        </w:rPr>
        <w:t>之</w:t>
      </w:r>
      <w:r w:rsidR="00C76CEF">
        <w:rPr>
          <w:rFonts w:ascii="標楷體" w:eastAsia="標楷體" w:hAnsi="標楷體" w:cs="Arial" w:hint="eastAsia"/>
          <w:color w:val="333333"/>
          <w:sz w:val="32"/>
          <w:szCs w:val="32"/>
        </w:rPr>
        <w:t>物質存在時</w:t>
      </w:r>
      <w:r w:rsidRPr="002F7801">
        <w:rPr>
          <w:rFonts w:ascii="標楷體" w:eastAsia="標楷體" w:hAnsi="標楷體" w:cs="Arial" w:hint="eastAsia"/>
          <w:color w:val="333333"/>
          <w:sz w:val="32"/>
          <w:szCs w:val="32"/>
        </w:rPr>
        <w:t>，</w:t>
      </w:r>
      <w:r w:rsidR="00C76CEF">
        <w:rPr>
          <w:rFonts w:ascii="標楷體" w:eastAsia="標楷體" w:hAnsi="標楷體" w:cs="Arial" w:hint="eastAsia"/>
          <w:color w:val="333333"/>
          <w:sz w:val="32"/>
          <w:szCs w:val="32"/>
        </w:rPr>
        <w:t>即可撤銷下架處分</w:t>
      </w:r>
      <w:r w:rsidRPr="002F7801">
        <w:rPr>
          <w:rFonts w:ascii="標楷體" w:eastAsia="標楷體" w:hAnsi="標楷體" w:cs="Arial" w:hint="eastAsia"/>
          <w:color w:val="333333"/>
          <w:sz w:val="32"/>
          <w:szCs w:val="32"/>
        </w:rPr>
        <w:t>重新</w:t>
      </w:r>
      <w:r w:rsidR="00C76CEF">
        <w:rPr>
          <w:rFonts w:ascii="標楷體" w:eastAsia="標楷體" w:hAnsi="標楷體" w:cs="Arial" w:hint="eastAsia"/>
          <w:color w:val="333333"/>
          <w:sz w:val="32"/>
          <w:szCs w:val="32"/>
        </w:rPr>
        <w:t>上架</w:t>
      </w:r>
      <w:r w:rsidRPr="002F7801">
        <w:rPr>
          <w:rFonts w:ascii="標楷體" w:eastAsia="標楷體" w:hAnsi="標楷體" w:cs="Arial" w:hint="eastAsia"/>
          <w:color w:val="333333"/>
          <w:sz w:val="32"/>
          <w:szCs w:val="32"/>
        </w:rPr>
        <w:t>販售；</w:t>
      </w:r>
      <w:proofErr w:type="gramStart"/>
      <w:r w:rsidR="00A228BA">
        <w:rPr>
          <w:rFonts w:ascii="標楷體" w:eastAsia="標楷體" w:hAnsi="標楷體" w:cs="Arial" w:hint="eastAsia"/>
          <w:color w:val="333333"/>
          <w:sz w:val="32"/>
          <w:szCs w:val="32"/>
        </w:rPr>
        <w:t>倘</w:t>
      </w:r>
      <w:r w:rsidRPr="002F7801">
        <w:rPr>
          <w:rFonts w:ascii="標楷體" w:eastAsia="標楷體" w:hAnsi="標楷體" w:cs="Arial" w:hint="eastAsia"/>
          <w:color w:val="333333"/>
          <w:sz w:val="32"/>
          <w:szCs w:val="32"/>
        </w:rPr>
        <w:t>涉違法</w:t>
      </w:r>
      <w:proofErr w:type="gramEnd"/>
      <w:r w:rsidR="00A228BA">
        <w:rPr>
          <w:rFonts w:ascii="標楷體" w:eastAsia="標楷體" w:hAnsi="標楷體" w:cs="Arial" w:hint="eastAsia"/>
          <w:color w:val="333333"/>
          <w:sz w:val="32"/>
          <w:szCs w:val="32"/>
        </w:rPr>
        <w:t>情事</w:t>
      </w:r>
      <w:r w:rsidRPr="002F7801">
        <w:rPr>
          <w:rFonts w:ascii="標楷體" w:eastAsia="標楷體" w:hAnsi="標楷體" w:cs="Arial" w:hint="eastAsia"/>
          <w:color w:val="333333"/>
          <w:sz w:val="32"/>
          <w:szCs w:val="32"/>
        </w:rPr>
        <w:t>，則依</w:t>
      </w:r>
      <w:r w:rsidR="00A228BA">
        <w:rPr>
          <w:rFonts w:ascii="標楷體" w:eastAsia="標楷體" w:hAnsi="標楷體" w:cs="Arial" w:hint="eastAsia"/>
          <w:color w:val="333333"/>
          <w:sz w:val="32"/>
          <w:szCs w:val="32"/>
        </w:rPr>
        <w:t>法</w:t>
      </w:r>
      <w:r w:rsidRPr="002F7801">
        <w:rPr>
          <w:rFonts w:ascii="標楷體" w:eastAsia="標楷體" w:hAnsi="標楷體" w:cs="Arial" w:hint="eastAsia"/>
          <w:color w:val="333333"/>
          <w:sz w:val="32"/>
          <w:szCs w:val="32"/>
        </w:rPr>
        <w:t>處辦。</w:t>
      </w:r>
    </w:p>
    <w:sectPr w:rsidR="00C16AE6" w:rsidRPr="00C425A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5B3" w:rsidRDefault="00EA45B3">
      <w:r>
        <w:separator/>
      </w:r>
    </w:p>
  </w:endnote>
  <w:endnote w:type="continuationSeparator" w:id="0">
    <w:p w:rsidR="00EA45B3" w:rsidRDefault="00EA4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8635281"/>
      <w:docPartObj>
        <w:docPartGallery w:val="Page Numbers (Bottom of Page)"/>
        <w:docPartUnique/>
      </w:docPartObj>
    </w:sdtPr>
    <w:sdtEndPr/>
    <w:sdtContent>
      <w:p w:rsidR="004F263F" w:rsidRDefault="008D45C1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2C54" w:rsidRPr="00C22C54">
          <w:rPr>
            <w:noProof/>
            <w:lang w:val="zh-TW"/>
          </w:rPr>
          <w:t>1</w:t>
        </w:r>
        <w:r>
          <w:fldChar w:fldCharType="end"/>
        </w:r>
      </w:p>
    </w:sdtContent>
  </w:sdt>
  <w:p w:rsidR="004F263F" w:rsidRDefault="00EA45B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5B3" w:rsidRDefault="00EA45B3">
      <w:r>
        <w:separator/>
      </w:r>
    </w:p>
  </w:footnote>
  <w:footnote w:type="continuationSeparator" w:id="0">
    <w:p w:rsidR="00EA45B3" w:rsidRDefault="00EA4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77F52"/>
    <w:multiLevelType w:val="hybridMultilevel"/>
    <w:tmpl w:val="B46874D4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23053CEF"/>
    <w:multiLevelType w:val="hybridMultilevel"/>
    <w:tmpl w:val="0568CB90"/>
    <w:lvl w:ilvl="0" w:tplc="D814FAB8">
      <w:start w:val="1"/>
      <w:numFmt w:val="taiwaneseCountingThousand"/>
      <w:lvlText w:val="%1、"/>
      <w:lvlJc w:val="left"/>
      <w:pPr>
        <w:ind w:left="1855" w:hanging="720"/>
      </w:pPr>
      <w:rPr>
        <w:rFonts w:hint="default"/>
      </w:rPr>
    </w:lvl>
    <w:lvl w:ilvl="1" w:tplc="7E20F04C">
      <w:start w:val="1"/>
      <w:numFmt w:val="taiwaneseCountingThousand"/>
      <w:lvlText w:val="(%2)"/>
      <w:lvlJc w:val="left"/>
      <w:pPr>
        <w:ind w:left="191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">
    <w:nsid w:val="31A12BFA"/>
    <w:multiLevelType w:val="hybridMultilevel"/>
    <w:tmpl w:val="B46874D4"/>
    <w:lvl w:ilvl="0" w:tplc="0409000F">
      <w:start w:val="1"/>
      <w:numFmt w:val="decimal"/>
      <w:lvlText w:val="%1."/>
      <w:lvlJc w:val="left"/>
      <w:pPr>
        <w:ind w:left="53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46B426F3"/>
    <w:multiLevelType w:val="hybridMultilevel"/>
    <w:tmpl w:val="EDCEB30A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4">
    <w:nsid w:val="63AC0123"/>
    <w:multiLevelType w:val="hybridMultilevel"/>
    <w:tmpl w:val="7D8C0400"/>
    <w:lvl w:ilvl="0" w:tplc="04090017">
      <w:start w:val="1"/>
      <w:numFmt w:val="ideographLegalTraditional"/>
      <w:lvlText w:val="%1、"/>
      <w:lvlJc w:val="left"/>
      <w:pPr>
        <w:ind w:left="81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615" w:hanging="480"/>
      </w:pPr>
    </w:lvl>
    <w:lvl w:ilvl="2" w:tplc="0409001B" w:tentative="1">
      <w:start w:val="1"/>
      <w:numFmt w:val="lowerRoman"/>
      <w:lvlText w:val="%3."/>
      <w:lvlJc w:val="right"/>
      <w:pPr>
        <w:ind w:left="9095" w:hanging="480"/>
      </w:pPr>
    </w:lvl>
    <w:lvl w:ilvl="3" w:tplc="0409000F" w:tentative="1">
      <w:start w:val="1"/>
      <w:numFmt w:val="decimal"/>
      <w:lvlText w:val="%4."/>
      <w:lvlJc w:val="left"/>
      <w:pPr>
        <w:ind w:left="95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0055" w:hanging="480"/>
      </w:pPr>
    </w:lvl>
    <w:lvl w:ilvl="5" w:tplc="0409001B" w:tentative="1">
      <w:start w:val="1"/>
      <w:numFmt w:val="lowerRoman"/>
      <w:lvlText w:val="%6."/>
      <w:lvlJc w:val="right"/>
      <w:pPr>
        <w:ind w:left="10535" w:hanging="480"/>
      </w:pPr>
    </w:lvl>
    <w:lvl w:ilvl="6" w:tplc="0409000F" w:tentative="1">
      <w:start w:val="1"/>
      <w:numFmt w:val="decimal"/>
      <w:lvlText w:val="%7."/>
      <w:lvlJc w:val="left"/>
      <w:pPr>
        <w:ind w:left="110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1495" w:hanging="480"/>
      </w:pPr>
    </w:lvl>
    <w:lvl w:ilvl="8" w:tplc="0409001B" w:tentative="1">
      <w:start w:val="1"/>
      <w:numFmt w:val="lowerRoman"/>
      <w:lvlText w:val="%9."/>
      <w:lvlJc w:val="right"/>
      <w:pPr>
        <w:ind w:left="11975" w:hanging="4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FA7"/>
    <w:rsid w:val="000D7DD5"/>
    <w:rsid w:val="00114225"/>
    <w:rsid w:val="0012637C"/>
    <w:rsid w:val="001943B4"/>
    <w:rsid w:val="001E1A42"/>
    <w:rsid w:val="002F78AE"/>
    <w:rsid w:val="00401DD8"/>
    <w:rsid w:val="00421D1C"/>
    <w:rsid w:val="00580C38"/>
    <w:rsid w:val="00610B0E"/>
    <w:rsid w:val="0063193C"/>
    <w:rsid w:val="00665765"/>
    <w:rsid w:val="0067473F"/>
    <w:rsid w:val="00695E08"/>
    <w:rsid w:val="00785CE6"/>
    <w:rsid w:val="008048A6"/>
    <w:rsid w:val="0089164A"/>
    <w:rsid w:val="008C78C2"/>
    <w:rsid w:val="008D45C1"/>
    <w:rsid w:val="009E65E4"/>
    <w:rsid w:val="00A228BA"/>
    <w:rsid w:val="00A374E9"/>
    <w:rsid w:val="00B53210"/>
    <w:rsid w:val="00C16AE6"/>
    <w:rsid w:val="00C22C54"/>
    <w:rsid w:val="00C425A4"/>
    <w:rsid w:val="00C76CEF"/>
    <w:rsid w:val="00DA49E7"/>
    <w:rsid w:val="00EA45B3"/>
    <w:rsid w:val="00FA4ECB"/>
    <w:rsid w:val="00FD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FA7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2FA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FD2FA7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FD2F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FD2FA7"/>
    <w:rPr>
      <w:rFonts w:ascii="新細明體" w:eastAsia="新細明體" w:hAnsi="新細明體" w:cs="新細明體"/>
      <w:kern w:val="0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FD2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rsid w:val="00FD2FA7"/>
    <w:rPr>
      <w:rFonts w:ascii="細明體" w:eastAsia="細明體" w:hAnsi="細明體" w:cs="細明體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E65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E65E4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425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425A4"/>
    <w:rPr>
      <w:rFonts w:ascii="新細明體" w:eastAsia="新細明體" w:hAnsi="新細明體" w:cs="新細明體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FA7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2FA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FD2FA7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FD2F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FD2FA7"/>
    <w:rPr>
      <w:rFonts w:ascii="新細明體" w:eastAsia="新細明體" w:hAnsi="新細明體" w:cs="新細明體"/>
      <w:kern w:val="0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FD2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rsid w:val="00FD2FA7"/>
    <w:rPr>
      <w:rFonts w:ascii="細明體" w:eastAsia="細明體" w:hAnsi="細明體" w:cs="細明體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E65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E65E4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425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425A4"/>
    <w:rPr>
      <w:rFonts w:ascii="新細明體" w:eastAsia="新細明體" w:hAnsi="新細明體" w:cs="新細明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廖慧琳</cp:lastModifiedBy>
  <cp:revision>5</cp:revision>
  <cp:lastPrinted>2015-01-28T06:55:00Z</cp:lastPrinted>
  <dcterms:created xsi:type="dcterms:W3CDTF">2015-01-28T06:56:00Z</dcterms:created>
  <dcterms:modified xsi:type="dcterms:W3CDTF">2015-02-06T00:57:00Z</dcterms:modified>
</cp:coreProperties>
</file>